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7D" w:rsidRDefault="0056177D" w:rsidP="005617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20AB3" wp14:editId="444149B3">
                <wp:simplePos x="0" y="0"/>
                <wp:positionH relativeFrom="column">
                  <wp:posOffset>12915900</wp:posOffset>
                </wp:positionH>
                <wp:positionV relativeFrom="paragraph">
                  <wp:posOffset>19050</wp:posOffset>
                </wp:positionV>
                <wp:extent cx="1104900" cy="1266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77D" w:rsidRDefault="0056177D" w:rsidP="00561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3C5C5" wp14:editId="1986FDBF">
                                  <wp:extent cx="942975" cy="11906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77D" w:rsidRDefault="0056177D" w:rsidP="0056177D"/>
                          <w:p w:rsidR="0056177D" w:rsidRDefault="0056177D" w:rsidP="0056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2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17pt;margin-top:1.5pt;width:87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" filled="f" stroked="f" strokeweight=".5pt">
                <v:textbox>
                  <w:txbxContent>
                    <w:p w:rsidR="0056177D" w:rsidRDefault="0056177D" w:rsidP="0056177D">
                      <w:r>
                        <w:rPr>
                          <w:noProof/>
                        </w:rPr>
                        <w:drawing>
                          <wp:inline distT="0" distB="0" distL="0" distR="0" wp14:anchorId="48C3C5C5" wp14:editId="1986FDBF">
                            <wp:extent cx="942975" cy="11906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177D" w:rsidRDefault="0056177D" w:rsidP="0056177D"/>
                    <w:p w:rsidR="0056177D" w:rsidRDefault="0056177D" w:rsidP="005617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520B6" wp14:editId="1AB4A0F0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5048250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177D" w:rsidRPr="00C847D6" w:rsidRDefault="0056177D" w:rsidP="0056177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47D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Bowen State High School</w:t>
                            </w:r>
                          </w:p>
                          <w:p w:rsidR="0056177D" w:rsidRPr="00C847D6" w:rsidRDefault="0056177D" w:rsidP="0056177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47D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Annual Implementation Plan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520B6" id="Text Box 4" o:spid="_x0000_s1027" type="#_x0000_t202" style="position:absolute;margin-left:10.5pt;margin-top:15pt;width:397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" fillcolor="#002060" stroked="f" strokeweight=".5pt">
                <v:textbox>
                  <w:txbxContent>
                    <w:p w:rsidR="0056177D" w:rsidRPr="00C847D6" w:rsidRDefault="0056177D" w:rsidP="0056177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47D6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Bowen State High School</w:t>
                      </w:r>
                    </w:p>
                    <w:p w:rsidR="0056177D" w:rsidRPr="00C847D6" w:rsidRDefault="0056177D" w:rsidP="0056177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47D6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Annual Implementation Plan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EE138" wp14:editId="6A62E680">
                <wp:simplePos x="0" y="0"/>
                <wp:positionH relativeFrom="column">
                  <wp:posOffset>-9525</wp:posOffset>
                </wp:positionH>
                <wp:positionV relativeFrom="paragraph">
                  <wp:posOffset>904875</wp:posOffset>
                </wp:positionV>
                <wp:extent cx="141922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0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77D" w:rsidRDefault="0056177D" w:rsidP="0056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E138" id="Text Box 3" o:spid="_x0000_s1028" type="#_x0000_t202" style="position:absolute;margin-left:-.75pt;margin-top:71.25pt;width:1117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" fillcolor="#ffc000" strokeweight=".5pt">
                <v:textbox>
                  <w:txbxContent>
                    <w:p w:rsidR="0056177D" w:rsidRDefault="0056177D" w:rsidP="005617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AF70" wp14:editId="60244DF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19225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0" cy="895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77D" w:rsidRDefault="0056177D" w:rsidP="0056177D"/>
                          <w:p w:rsidR="0056177D" w:rsidRDefault="0056177D" w:rsidP="0056177D"/>
                          <w:p w:rsidR="0056177D" w:rsidRDefault="0056177D" w:rsidP="0056177D"/>
                          <w:p w:rsidR="0056177D" w:rsidRDefault="0056177D" w:rsidP="0056177D"/>
                          <w:p w:rsidR="0056177D" w:rsidRDefault="0056177D" w:rsidP="0056177D"/>
                          <w:p w:rsidR="0056177D" w:rsidRDefault="0056177D" w:rsidP="00561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1AF70" id="Text Box 2" o:spid="_x0000_s1029" type="#_x0000_t202" style="position:absolute;margin-left:1066.3pt;margin-top:.75pt;width:1117.5pt;height:7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" fillcolor="#002060" strokeweight=".5pt">
                <v:textbox>
                  <w:txbxContent>
                    <w:p w:rsidR="0056177D" w:rsidRDefault="0056177D" w:rsidP="0056177D"/>
                    <w:p w:rsidR="0056177D" w:rsidRDefault="0056177D" w:rsidP="0056177D"/>
                    <w:p w:rsidR="0056177D" w:rsidRDefault="0056177D" w:rsidP="0056177D"/>
                    <w:p w:rsidR="0056177D" w:rsidRDefault="0056177D" w:rsidP="0056177D"/>
                    <w:p w:rsidR="0056177D" w:rsidRDefault="0056177D" w:rsidP="0056177D"/>
                    <w:p w:rsidR="0056177D" w:rsidRDefault="0056177D" w:rsidP="0056177D"/>
                  </w:txbxContent>
                </v:textbox>
                <w10:wrap anchorx="margin"/>
              </v:shape>
            </w:pict>
          </mc:Fallback>
        </mc:AlternateContent>
      </w:r>
    </w:p>
    <w:p w:rsidR="0056177D" w:rsidRDefault="0056177D"/>
    <w:p w:rsidR="0056177D" w:rsidRDefault="0056177D"/>
    <w:p w:rsidR="0056177D" w:rsidRDefault="00561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2977"/>
        <w:gridCol w:w="4536"/>
        <w:gridCol w:w="2410"/>
        <w:gridCol w:w="2662"/>
      </w:tblGrid>
      <w:tr w:rsidR="00671913" w:rsidTr="00CF31BE">
        <w:tc>
          <w:tcPr>
            <w:tcW w:w="22361" w:type="dxa"/>
            <w:gridSpan w:val="6"/>
            <w:vAlign w:val="center"/>
          </w:tcPr>
          <w:p w:rsidR="00671913" w:rsidRPr="005A0F30" w:rsidRDefault="00671913" w:rsidP="0067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678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State and Regional Priorities</w:t>
            </w:r>
          </w:p>
        </w:tc>
      </w:tr>
      <w:tr w:rsidR="00671913" w:rsidTr="00671913">
        <w:tc>
          <w:tcPr>
            <w:tcW w:w="8359" w:type="dxa"/>
          </w:tcPr>
          <w:p w:rsidR="00671913" w:rsidRPr="0098257F" w:rsidRDefault="00671913" w:rsidP="00671913">
            <w:pPr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hyperlink r:id="rId6" w:history="1">
              <w:r w:rsidRPr="0098257F">
                <w:rPr>
                  <w:rStyle w:val="Hyperlink"/>
                  <w:rFonts w:ascii="Arial" w:hAnsi="Arial" w:cs="Arial"/>
                  <w:b/>
                  <w:color w:val="1F3864" w:themeColor="accent1" w:themeShade="80"/>
                  <w:sz w:val="20"/>
                  <w:szCs w:val="20"/>
                </w:rPr>
                <w:t>State Schools Strategy 2021-202</w:t>
              </w:r>
            </w:hyperlink>
            <w:r w:rsidRPr="0098257F">
              <w:rPr>
                <w:rStyle w:val="Hyperlink"/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5</w:t>
            </w:r>
          </w:p>
          <w:p w:rsidR="00671913" w:rsidRPr="0098257F" w:rsidRDefault="00671913" w:rsidP="006719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/>
                <w:b/>
                <w:color w:val="1F3864" w:themeColor="accent1" w:themeShade="80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Success and wellbeing for all children and students as they transition through each stage of learning in an inclusive education system.</w:t>
            </w:r>
          </w:p>
          <w:p w:rsidR="00671913" w:rsidRPr="0098257F" w:rsidRDefault="00671913" w:rsidP="006719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/>
                <w:b/>
                <w:color w:val="1F3864" w:themeColor="accent1" w:themeShade="80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Continuous improvement in the access to, and teaching, learning and assessment of, the Australian Curriculum and the senior syllabuses.</w:t>
            </w:r>
          </w:p>
          <w:p w:rsidR="00671913" w:rsidRPr="0098257F" w:rsidRDefault="00671913" w:rsidP="00671913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14002" w:type="dxa"/>
            <w:gridSpan w:val="5"/>
            <w:vAlign w:val="center"/>
          </w:tcPr>
          <w:p w:rsidR="00671913" w:rsidRPr="008239A6" w:rsidRDefault="00671913" w:rsidP="0067191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239A6"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  <w:t>NQR Priorities 2021 Improvement Strategies 2021</w:t>
            </w:r>
          </w:p>
          <w:p w:rsidR="00671913" w:rsidRPr="00E47086" w:rsidRDefault="00671913" w:rsidP="00671913">
            <w:pPr>
              <w:numPr>
                <w:ilvl w:val="0"/>
                <w:numId w:val="1"/>
              </w:numPr>
              <w:spacing w:beforeAutospacing="1" w:after="100" w:afterAutospacing="1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Give every child a great start.</w:t>
            </w:r>
          </w:p>
          <w:p w:rsidR="00671913" w:rsidRPr="00E47086" w:rsidRDefault="00671913" w:rsidP="006719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7086">
              <w:rPr>
                <w:rFonts w:ascii="Arial" w:eastAsia="Times New Roman" w:hAnsi="Arial" w:cs="Arial"/>
                <w:sz w:val="18"/>
                <w:szCs w:val="18"/>
              </w:rPr>
              <w:t>Support effective teaching and learning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71913" w:rsidRPr="00E47086" w:rsidRDefault="00671913" w:rsidP="006719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7086">
              <w:rPr>
                <w:rFonts w:ascii="Arial" w:eastAsia="Times New Roman" w:hAnsi="Arial" w:cs="Arial"/>
                <w:sz w:val="18"/>
                <w:szCs w:val="18"/>
              </w:rPr>
              <w:t>Support successful engagement and transition of our children and young people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71913" w:rsidRPr="00E47086" w:rsidRDefault="00671913" w:rsidP="0067191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7086">
              <w:rPr>
                <w:rFonts w:ascii="Arial" w:eastAsia="Times New Roman" w:hAnsi="Arial" w:cs="Arial"/>
                <w:sz w:val="18"/>
                <w:szCs w:val="18"/>
              </w:rPr>
              <w:t>Support effective risk management, control and governance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71913" w:rsidRPr="008239A6" w:rsidRDefault="00671913" w:rsidP="0067191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7086">
              <w:rPr>
                <w:rFonts w:ascii="Arial" w:eastAsia="Times New Roman" w:hAnsi="Arial"/>
                <w:sz w:val="18"/>
                <w:szCs w:val="18"/>
              </w:rPr>
              <w:t xml:space="preserve">Embed a systematic North Queensland region and the </w:t>
            </w:r>
            <w:proofErr w:type="spellStart"/>
            <w:r w:rsidRPr="00E47086">
              <w:rPr>
                <w:rFonts w:ascii="Arial" w:eastAsia="Times New Roman" w:hAnsi="Arial"/>
                <w:sz w:val="18"/>
                <w:szCs w:val="18"/>
              </w:rPr>
              <w:t>CLaW</w:t>
            </w:r>
            <w:proofErr w:type="spellEnd"/>
            <w:r w:rsidRPr="00E470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</w:rPr>
              <w:t>(</w:t>
            </w:r>
            <w:r w:rsidRPr="00104A23">
              <w:rPr>
                <w:rFonts w:ascii="Arial" w:eastAsia="Times New Roman" w:hAnsi="Arial"/>
                <w:sz w:val="18"/>
                <w:szCs w:val="18"/>
              </w:rPr>
              <w:t>Ce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ntre for Learning and Wellbeing) </w:t>
            </w:r>
            <w:r w:rsidRPr="00E47086">
              <w:rPr>
                <w:rFonts w:ascii="Arial" w:eastAsia="Times New Roman" w:hAnsi="Arial"/>
                <w:sz w:val="18"/>
                <w:szCs w:val="18"/>
              </w:rPr>
              <w:t>Ways of Working</w:t>
            </w:r>
            <w:r>
              <w:rPr>
                <w:rFonts w:ascii="Arial" w:eastAsia="Times New Roman" w:hAnsi="Arial"/>
                <w:sz w:val="18"/>
                <w:szCs w:val="18"/>
              </w:rPr>
              <w:t>.</w:t>
            </w:r>
          </w:p>
          <w:p w:rsidR="00671913" w:rsidRPr="00B25CDB" w:rsidRDefault="00671913" w:rsidP="00671913">
            <w:pPr>
              <w:rPr>
                <w:rFonts w:ascii="Arial" w:hAnsi="Arial"/>
              </w:rPr>
            </w:pPr>
          </w:p>
        </w:tc>
      </w:tr>
      <w:tr w:rsidR="00671913" w:rsidTr="003F3873">
        <w:tc>
          <w:tcPr>
            <w:tcW w:w="22361" w:type="dxa"/>
            <w:gridSpan w:val="6"/>
          </w:tcPr>
          <w:p w:rsidR="00671913" w:rsidRPr="00224BDD" w:rsidRDefault="00671913" w:rsidP="0067191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224BDD">
              <w:rPr>
                <w:rFonts w:ascii="Arial" w:hAnsi="Arial" w:cs="Arial"/>
                <w:b/>
                <w:sz w:val="28"/>
                <w:szCs w:val="28"/>
              </w:rPr>
              <w:t xml:space="preserve">School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Explicit Improvement Agenda 2021</w:t>
            </w:r>
          </w:p>
          <w:p w:rsidR="00671913" w:rsidRPr="00C7591F" w:rsidRDefault="00671913" w:rsidP="0067191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Improvement Priority: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Universal Design for Learning (UDL) </w:t>
            </w:r>
          </w:p>
          <w:p w:rsidR="00671913" w:rsidRDefault="00671913" w:rsidP="00671913"/>
        </w:tc>
      </w:tr>
      <w:tr w:rsidR="00671913" w:rsidTr="00AC29DA">
        <w:tc>
          <w:tcPr>
            <w:tcW w:w="22361" w:type="dxa"/>
            <w:gridSpan w:val="6"/>
            <w:shd w:val="clear" w:color="auto" w:fill="002060"/>
            <w:vAlign w:val="center"/>
          </w:tcPr>
          <w:p w:rsidR="00671913" w:rsidRPr="00AC29DA" w:rsidRDefault="00671913" w:rsidP="00671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9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Strategy </w:t>
            </w:r>
            <w:proofErr w:type="gramStart"/>
            <w:r w:rsidRPr="00AC29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  identify</w:t>
            </w:r>
            <w:proofErr w:type="gramEnd"/>
            <w:r w:rsidRPr="00AC29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and remove the barriers preventing students from accessing the learning.</w:t>
            </w:r>
          </w:p>
        </w:tc>
      </w:tr>
      <w:tr w:rsidR="00671913" w:rsidTr="00AC29DA">
        <w:trPr>
          <w:trHeight w:val="69"/>
        </w:trPr>
        <w:tc>
          <w:tcPr>
            <w:tcW w:w="9776" w:type="dxa"/>
            <w:gridSpan w:val="2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7513" w:type="dxa"/>
            <w:gridSpan w:val="2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Targets </w:t>
            </w:r>
          </w:p>
        </w:tc>
        <w:tc>
          <w:tcPr>
            <w:tcW w:w="2410" w:type="dxa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Timelines </w:t>
            </w:r>
          </w:p>
        </w:tc>
        <w:tc>
          <w:tcPr>
            <w:tcW w:w="2662" w:type="dxa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Responsible Officer/s </w:t>
            </w:r>
          </w:p>
        </w:tc>
      </w:tr>
      <w:tr w:rsidR="00671913" w:rsidTr="00AC29DA">
        <w:trPr>
          <w:trHeight w:val="67"/>
        </w:trPr>
        <w:tc>
          <w:tcPr>
            <w:tcW w:w="9776" w:type="dxa"/>
            <w:gridSpan w:val="2"/>
          </w:tcPr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 w:rsidRPr="00B06FEF">
              <w:rPr>
                <w:rFonts w:ascii="Arial" w:hAnsi="Arial"/>
                <w:sz w:val="18"/>
                <w:szCs w:val="18"/>
              </w:rPr>
              <w:t>Develop teacher knowledge and practices with the</w:t>
            </w:r>
            <w:r>
              <w:rPr>
                <w:rFonts w:ascii="Arial" w:hAnsi="Arial"/>
                <w:sz w:val="18"/>
                <w:szCs w:val="18"/>
              </w:rPr>
              <w:t xml:space="preserve"> Universal Design for Learning (</w:t>
            </w:r>
            <w:r w:rsidRPr="00B06FEF">
              <w:rPr>
                <w:rFonts w:ascii="Arial" w:hAnsi="Arial"/>
                <w:sz w:val="18"/>
                <w:szCs w:val="18"/>
              </w:rPr>
              <w:t>UDL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B06FEF">
              <w:rPr>
                <w:rFonts w:ascii="Arial" w:hAnsi="Arial"/>
                <w:sz w:val="18"/>
                <w:szCs w:val="18"/>
              </w:rPr>
              <w:t xml:space="preserve"> framework</w:t>
            </w:r>
            <w:r>
              <w:rPr>
                <w:rFonts w:ascii="Arial" w:hAnsi="Arial"/>
                <w:sz w:val="18"/>
                <w:szCs w:val="18"/>
              </w:rPr>
              <w:t xml:space="preserve"> (principles and guidelines)</w:t>
            </w:r>
            <w:r w:rsidRPr="00B06FEF">
              <w:rPr>
                <w:rFonts w:ascii="Arial" w:hAnsi="Arial"/>
                <w:sz w:val="18"/>
                <w:szCs w:val="18"/>
              </w:rPr>
              <w:t xml:space="preserve"> to develop </w:t>
            </w:r>
            <w:r>
              <w:rPr>
                <w:rFonts w:ascii="Arial" w:hAnsi="Arial"/>
                <w:sz w:val="18"/>
                <w:szCs w:val="18"/>
              </w:rPr>
              <w:t xml:space="preserve">and design curriculum, instruction, assessment, </w:t>
            </w:r>
            <w:r w:rsidRPr="00B06FEF">
              <w:rPr>
                <w:rFonts w:ascii="Arial" w:hAnsi="Arial"/>
                <w:sz w:val="18"/>
                <w:szCs w:val="18"/>
              </w:rPr>
              <w:t>learning environments and experiences that are flexible, responsive and inclusive for all students.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Create UDL professional Learning Communities (PLCs) with Year 7 English teachers to build teachers’ knowledge and practices with universally designing curriculum, assessment and instruction. 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 a deeper understanding of Neurodiversity and common specific learning difficulties (dyslexia, dysgraphia, dyscalculia, ADHD, autism, specific language impairment, working memory, anxiety and trauma).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 w:rsidRPr="00B06FEF">
              <w:rPr>
                <w:rFonts w:ascii="Arial" w:hAnsi="Arial"/>
                <w:sz w:val="18"/>
                <w:szCs w:val="18"/>
              </w:rPr>
              <w:t>Develop teachers’ deep understanding of the Australian Curriculum</w:t>
            </w:r>
            <w:r>
              <w:rPr>
                <w:rFonts w:ascii="Arial" w:hAnsi="Arial"/>
                <w:sz w:val="18"/>
                <w:szCs w:val="18"/>
              </w:rPr>
              <w:t xml:space="preserve"> and Senior Syllabuses and respond to the diverse learning needs of students by identifying barriers to access and engagement supporting JCE and QCE/ACIA attainment.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Unpack and implement two domains (effective practice and teaching and learning) of the Aboriginal and Torres Strait Islander Cultural Capability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Framework  to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ensure teaching and learning reflect and are appropriate to the needs of Aboriginal peoples and Torres Strait Island peoples in order to strengthen cultural capabilities in the school.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 teacher’s collective capacity to modify and align curriculum, assessment and instruction aligned to Individual Curriculum Plans (ICPs) and Highly Individualised Curriculum (HIC).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Pr="003024EE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 w:rsidRPr="00FD1FBB">
              <w:rPr>
                <w:rFonts w:ascii="Arial" w:hAnsi="Arial" w:cs="Arial"/>
                <w:sz w:val="18"/>
                <w:szCs w:val="18"/>
              </w:rPr>
              <w:t xml:space="preserve">100% of teachers </w:t>
            </w:r>
            <w:r>
              <w:rPr>
                <w:rFonts w:ascii="Arial" w:hAnsi="Arial" w:cs="Arial"/>
                <w:sz w:val="18"/>
                <w:szCs w:val="18"/>
              </w:rPr>
              <w:t xml:space="preserve">commit to exploring </w:t>
            </w:r>
            <w:r w:rsidRPr="00FD1FB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principles and guidelines of </w:t>
            </w:r>
            <w:r w:rsidRPr="00FD1FBB">
              <w:rPr>
                <w:rFonts w:ascii="Arial" w:hAnsi="Arial" w:cs="Arial"/>
                <w:sz w:val="18"/>
                <w:szCs w:val="18"/>
              </w:rPr>
              <w:t xml:space="preserve">UDL to </w:t>
            </w:r>
            <w:r>
              <w:rPr>
                <w:rFonts w:ascii="Arial" w:hAnsi="Arial" w:cs="Arial"/>
                <w:sz w:val="18"/>
                <w:szCs w:val="18"/>
              </w:rPr>
              <w:t>plan for learner variability.</w:t>
            </w:r>
            <w:r w:rsidRPr="00FD1F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of teachers explore the UDL framework and plan and deliver lessons aligned to the UDL principles and guidelines.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 w:rsidRPr="00585EE1"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585EE1">
              <w:rPr>
                <w:rFonts w:ascii="Arial" w:hAnsi="Arial" w:cs="Arial"/>
                <w:sz w:val="18"/>
                <w:szCs w:val="18"/>
              </w:rPr>
              <w:t xml:space="preserve"> teachers engage with Quadrant of Learners (Q of L) and Class Action Plans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5EE1">
              <w:rPr>
                <w:rFonts w:ascii="Arial" w:hAnsi="Arial" w:cs="Arial"/>
                <w:sz w:val="18"/>
                <w:szCs w:val="18"/>
              </w:rPr>
              <w:t>(CAPs)</w:t>
            </w:r>
            <w:r>
              <w:rPr>
                <w:rFonts w:ascii="Arial" w:hAnsi="Arial" w:cs="Arial"/>
                <w:sz w:val="18"/>
                <w:szCs w:val="18"/>
              </w:rPr>
              <w:t xml:space="preserve"> to identify student/s barriers to learning and plan strategies to support student engagement, representation and action and expression strategies.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A673F">
              <w:rPr>
                <w:rFonts w:ascii="Arial" w:hAnsi="Arial" w:cs="Arial"/>
                <w:sz w:val="18"/>
                <w:szCs w:val="18"/>
              </w:rPr>
              <w:t>00%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5A673F">
              <w:rPr>
                <w:rFonts w:ascii="Arial" w:hAnsi="Arial" w:cs="Arial"/>
                <w:sz w:val="18"/>
                <w:szCs w:val="18"/>
              </w:rPr>
              <w:t xml:space="preserve"> teachers teach with a literacy focus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73F">
              <w:rPr>
                <w:rFonts w:ascii="Arial" w:hAnsi="Arial" w:cs="Arial"/>
                <w:sz w:val="18"/>
                <w:szCs w:val="18"/>
              </w:rPr>
              <w:t>(explicit planning and teaching of the reading and wr</w:t>
            </w:r>
            <w:r>
              <w:rPr>
                <w:rFonts w:ascii="Arial" w:hAnsi="Arial" w:cs="Arial"/>
                <w:sz w:val="18"/>
                <w:szCs w:val="18"/>
              </w:rPr>
              <w:t>iting demands of the AC and SS) and application of universally designed strategies.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455D64" w:rsidRDefault="00671913" w:rsidP="00671913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of </w:t>
            </w:r>
            <w:r w:rsidRPr="00455D64">
              <w:rPr>
                <w:rFonts w:ascii="Arial" w:hAnsi="Arial" w:cs="Arial"/>
                <w:sz w:val="18"/>
                <w:szCs w:val="18"/>
              </w:rPr>
              <w:t>Year 7 English teachers use the Literacy Continuum as a tool to strengthen their knowledge of literacy and</w:t>
            </w:r>
            <w:r w:rsidRPr="00455D6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71913" w:rsidRPr="0064409B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64409B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>all students achieve a C</w:t>
            </w:r>
            <w:r w:rsidRPr="0064409B">
              <w:rPr>
                <w:rFonts w:ascii="Arial" w:hAnsi="Arial" w:cs="Arial"/>
                <w:sz w:val="18"/>
                <w:szCs w:val="18"/>
              </w:rPr>
              <w:t xml:space="preserve"> or better in English, Mathematics and Science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 w:rsidRPr="0064409B">
              <w:rPr>
                <w:rFonts w:ascii="Arial" w:hAnsi="Arial" w:cs="Arial"/>
                <w:sz w:val="18"/>
                <w:szCs w:val="18"/>
              </w:rPr>
              <w:t>(Years 7 -10)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of all students achieving A or B in English, Mathematics and Science (Years7-10).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QCE/QCIA attainment.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VET completion.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 QTAC offers.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 JCE/JCIA attainment.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5A673F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 w:rsidRPr="005A673F"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gramStart"/>
            <w:r w:rsidRPr="005A673F">
              <w:rPr>
                <w:rFonts w:ascii="Arial" w:hAnsi="Arial" w:cs="Arial"/>
                <w:sz w:val="18"/>
                <w:szCs w:val="18"/>
              </w:rPr>
              <w:t>teach</w:t>
            </w:r>
            <w:r>
              <w:rPr>
                <w:rFonts w:ascii="Arial" w:hAnsi="Arial" w:cs="Arial"/>
                <w:sz w:val="18"/>
                <w:szCs w:val="18"/>
              </w:rPr>
              <w:t>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front-end assessment and co-</w:t>
            </w:r>
            <w:r w:rsidRPr="005A673F">
              <w:rPr>
                <w:rFonts w:ascii="Arial" w:hAnsi="Arial" w:cs="Arial"/>
                <w:sz w:val="18"/>
                <w:szCs w:val="18"/>
              </w:rPr>
              <w:t>develop know/do/think/consideration tables from the GTMJ/assessment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criteria, </w:t>
            </w:r>
            <w:r w:rsidRPr="005A673F">
              <w:rPr>
                <w:rFonts w:ascii="Arial" w:hAnsi="Arial" w:cs="Arial"/>
                <w:sz w:val="18"/>
                <w:szCs w:val="18"/>
              </w:rPr>
              <w:t>achievement standards, content descriptions and modelled responses.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of teachers can modify and align curriculum, assessment and instruction for ICPs and HICs.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in Charge (TICs) leaders and teachers understand, unpack and implement the 5Q4 Model.</w:t>
            </w: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 2021-T4 2023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T1-T4 2021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T1-T4 2021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 – T4 2021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Principal, Deputy Principals, Head of UDL, Head of Diversity, Heads of Department, Personal and Social Capabilities HOD, TICs and Teachers.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913" w:rsidTr="00AC29DA">
        <w:trPr>
          <w:trHeight w:val="67"/>
        </w:trPr>
        <w:tc>
          <w:tcPr>
            <w:tcW w:w="22361" w:type="dxa"/>
            <w:gridSpan w:val="6"/>
            <w:shd w:val="clear" w:color="auto" w:fill="002060"/>
          </w:tcPr>
          <w:p w:rsidR="00671913" w:rsidRPr="00AC29DA" w:rsidRDefault="00671913" w:rsidP="00671913">
            <w:pPr>
              <w:rPr>
                <w:b/>
                <w:sz w:val="24"/>
                <w:szCs w:val="24"/>
              </w:rPr>
            </w:pPr>
            <w:r w:rsidRPr="00AC29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Strategy – support the wellbeing of staff and students to increase engagement and productivity.</w:t>
            </w:r>
          </w:p>
        </w:tc>
      </w:tr>
      <w:tr w:rsidR="00671913" w:rsidTr="00AC29DA">
        <w:trPr>
          <w:trHeight w:val="67"/>
        </w:trPr>
        <w:tc>
          <w:tcPr>
            <w:tcW w:w="12753" w:type="dxa"/>
            <w:gridSpan w:val="3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4536" w:type="dxa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Targets </w:t>
            </w:r>
          </w:p>
        </w:tc>
        <w:tc>
          <w:tcPr>
            <w:tcW w:w="2410" w:type="dxa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Timelines </w:t>
            </w:r>
          </w:p>
        </w:tc>
        <w:tc>
          <w:tcPr>
            <w:tcW w:w="2662" w:type="dxa"/>
            <w:vAlign w:val="center"/>
          </w:tcPr>
          <w:p w:rsidR="00671913" w:rsidRPr="00EC7678" w:rsidRDefault="00671913" w:rsidP="006719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7678">
              <w:rPr>
                <w:rFonts w:ascii="Arial" w:hAnsi="Arial" w:cs="Arial"/>
                <w:b/>
                <w:sz w:val="18"/>
                <w:szCs w:val="18"/>
              </w:rPr>
              <w:t xml:space="preserve">Responsible Officer/s </w:t>
            </w:r>
          </w:p>
        </w:tc>
      </w:tr>
      <w:tr w:rsidR="00671913" w:rsidTr="00AC29DA">
        <w:tc>
          <w:tcPr>
            <w:tcW w:w="12753" w:type="dxa"/>
            <w:gridSpan w:val="3"/>
            <w:vAlign w:val="center"/>
          </w:tcPr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 w:rsidRPr="00630A68">
              <w:rPr>
                <w:rFonts w:ascii="Arial" w:hAnsi="Arial"/>
                <w:sz w:val="18"/>
                <w:szCs w:val="18"/>
              </w:rPr>
              <w:t>Implement</w:t>
            </w:r>
            <w:r>
              <w:rPr>
                <w:rFonts w:ascii="Arial" w:hAnsi="Arial"/>
                <w:sz w:val="18"/>
                <w:szCs w:val="18"/>
              </w:rPr>
              <w:t xml:space="preserve"> the 5 dimensions of the </w:t>
            </w:r>
            <w:proofErr w:type="spellStart"/>
            <w:r w:rsidRPr="00F81AAF">
              <w:rPr>
                <w:rFonts w:ascii="Arial" w:hAnsi="Arial"/>
                <w:b/>
                <w:sz w:val="18"/>
                <w:szCs w:val="18"/>
              </w:rPr>
              <w:t>SLaWF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(Student Learning and Wellbeing Framework) to support</w:t>
            </w:r>
            <w:r w:rsidRPr="00630A68">
              <w:rPr>
                <w:rFonts w:ascii="Arial" w:hAnsi="Arial"/>
                <w:sz w:val="18"/>
                <w:szCs w:val="18"/>
              </w:rPr>
              <w:t xml:space="preserve"> whole school trauma-informed and restorative practices acros</w:t>
            </w:r>
            <w:r>
              <w:rPr>
                <w:rFonts w:ascii="Arial" w:hAnsi="Arial"/>
                <w:sz w:val="18"/>
                <w:szCs w:val="18"/>
              </w:rPr>
              <w:t>s faculty areas and year levels and continue to i</w:t>
            </w:r>
            <w:r w:rsidRPr="0064409B">
              <w:rPr>
                <w:rFonts w:ascii="Arial" w:hAnsi="Arial"/>
                <w:sz w:val="18"/>
                <w:szCs w:val="18"/>
              </w:rPr>
              <w:t>mplement the Social-Emotional Learn</w:t>
            </w:r>
            <w:r>
              <w:rPr>
                <w:rFonts w:ascii="Arial" w:hAnsi="Arial"/>
                <w:sz w:val="18"/>
                <w:szCs w:val="18"/>
              </w:rPr>
              <w:t>ing (SEL) curriculum.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Create professional learning opportunities to unpack the Personal and Social Capabilities continuum and align to the principles of Universal Design for Learning (UDL).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Develop a Wellbeing Committee and Whole School Wellbeing Action Plan to evaluate, plan and implement staff health and wellbeing initiatives to improve the wellbeing of staff.</w:t>
            </w:r>
          </w:p>
          <w:p w:rsidR="0067191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  <w:p w:rsidR="00671913" w:rsidRPr="00611D93" w:rsidRDefault="00671913" w:rsidP="006719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671913" w:rsidRPr="00B61ACF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of staff undertake professional learning opportunities and </w:t>
            </w:r>
            <w:r w:rsidRPr="00B61ACF">
              <w:rPr>
                <w:rFonts w:ascii="Arial" w:hAnsi="Arial" w:cs="Arial"/>
                <w:sz w:val="18"/>
                <w:szCs w:val="18"/>
              </w:rPr>
              <w:t>APDP aligned to the school’s EIA.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 w:rsidRPr="00585EE1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85EE1">
              <w:rPr>
                <w:rFonts w:ascii="Arial" w:hAnsi="Arial" w:cs="Arial"/>
                <w:sz w:val="18"/>
                <w:szCs w:val="18"/>
              </w:rPr>
              <w:t>staff engage with trauma-informed an</w:t>
            </w:r>
            <w:r>
              <w:rPr>
                <w:rFonts w:ascii="Arial" w:hAnsi="Arial" w:cs="Arial"/>
                <w:sz w:val="18"/>
                <w:szCs w:val="18"/>
              </w:rPr>
              <w:t>d restorative justice practices and engage with social-emotional learning in classrooms (SEL).</w:t>
            </w:r>
          </w:p>
          <w:p w:rsidR="00671913" w:rsidRPr="00585EE1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attendance for all students.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T1-T4 2021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T1-T4 2021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Principal, Deputy Principals, Heads of Department, Personal and Social Capabilities HOD, TICs and Teachers and Teacher-Aides.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913" w:rsidRPr="00EC7678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913" w:rsidTr="000033A4">
        <w:tc>
          <w:tcPr>
            <w:tcW w:w="22361" w:type="dxa"/>
            <w:gridSpan w:val="6"/>
          </w:tcPr>
          <w:p w:rsidR="00671913" w:rsidRPr="008217FF" w:rsidRDefault="00671913" w:rsidP="006719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8217FF">
              <w:rPr>
                <w:rFonts w:ascii="Arial" w:hAnsi="Arial" w:cs="Arial"/>
                <w:b/>
                <w:sz w:val="28"/>
                <w:szCs w:val="28"/>
              </w:rPr>
              <w:t xml:space="preserve">ndorsement </w:t>
            </w:r>
          </w:p>
          <w:p w:rsidR="00671913" w:rsidRDefault="00671913" w:rsidP="00671913">
            <w:pPr>
              <w:rPr>
                <w:rFonts w:ascii="Arial" w:hAnsi="Arial" w:cs="Arial"/>
                <w:sz w:val="20"/>
                <w:szCs w:val="20"/>
              </w:rPr>
            </w:pPr>
            <w:r w:rsidRPr="008217FF">
              <w:rPr>
                <w:rFonts w:ascii="Arial" w:hAnsi="Arial" w:cs="Arial"/>
                <w:sz w:val="20"/>
                <w:szCs w:val="20"/>
              </w:rPr>
              <w:t xml:space="preserve">This plan was developed in consultation with the school community and meets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identified </w:t>
            </w:r>
            <w:r w:rsidRPr="008217FF">
              <w:rPr>
                <w:rFonts w:ascii="Arial" w:hAnsi="Arial" w:cs="Arial"/>
                <w:sz w:val="20"/>
                <w:szCs w:val="20"/>
              </w:rPr>
              <w:t xml:space="preserve">school needs and systemic requirements. </w:t>
            </w:r>
          </w:p>
          <w:p w:rsidR="00671913" w:rsidRDefault="00671913" w:rsidP="00671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913" w:rsidRDefault="00671913" w:rsidP="00671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10370EA9" wp14:editId="2B3A1C7F">
                  <wp:extent cx="2230938" cy="933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nicipal Signa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659" cy="97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671913" w:rsidRPr="00C5768C" w:rsidRDefault="00671913" w:rsidP="00671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__________________</w:t>
            </w:r>
            <w:r w:rsidRPr="00C5768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_________________                         _________________</w:t>
            </w:r>
            <w:r w:rsidRPr="00C57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913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Mrs Pam Prichard                                         Mr Nick Riley                                                      Mr Grant Dale</w:t>
            </w:r>
          </w:p>
          <w:p w:rsidR="00671913" w:rsidRPr="00C5768C" w:rsidRDefault="00671913" w:rsidP="00671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C5768C">
              <w:rPr>
                <w:rFonts w:ascii="Arial" w:hAnsi="Arial" w:cs="Arial"/>
                <w:sz w:val="18"/>
                <w:szCs w:val="18"/>
              </w:rPr>
              <w:t xml:space="preserve">Principal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P and C President                                            Assistant Regional Director</w:t>
            </w:r>
          </w:p>
          <w:p w:rsidR="00671913" w:rsidRDefault="00671913" w:rsidP="00671913"/>
        </w:tc>
      </w:tr>
    </w:tbl>
    <w:p w:rsidR="0056177D" w:rsidRDefault="0056177D">
      <w:bookmarkStart w:id="0" w:name="_GoBack"/>
      <w:bookmarkEnd w:id="0"/>
    </w:p>
    <w:sectPr w:rsidR="0056177D" w:rsidSect="00C847D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7112"/>
    <w:multiLevelType w:val="hybridMultilevel"/>
    <w:tmpl w:val="F780AA4C"/>
    <w:lvl w:ilvl="0" w:tplc="7CCC0F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E"/>
    <w:rsid w:val="001D483E"/>
    <w:rsid w:val="0056177D"/>
    <w:rsid w:val="00671913"/>
    <w:rsid w:val="00753975"/>
    <w:rsid w:val="009066F7"/>
    <w:rsid w:val="00AC29DA"/>
    <w:rsid w:val="00C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910D"/>
  <w15:chartTrackingRefBased/>
  <w15:docId w15:val="{2D8E5F11-A970-4E73-8A73-6B98E04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913"/>
    <w:pPr>
      <w:spacing w:before="80" w:after="0" w:line="240" w:lineRule="auto"/>
      <w:ind w:left="720"/>
      <w:contextualSpacing/>
    </w:pPr>
    <w:rPr>
      <w:rFonts w:ascii="Gill Sans MT" w:eastAsia="SimSun" w:hAnsi="Gill Sans MT" w:cs="Arial"/>
      <w:sz w:val="20"/>
      <w:szCs w:val="20"/>
      <w:lang w:val="en-GB" w:eastAsia="en-AU"/>
    </w:rPr>
  </w:style>
  <w:style w:type="character" w:styleId="Hyperlink">
    <w:name w:val="Hyperlink"/>
    <w:basedOn w:val="DefaultParagraphFont"/>
    <w:rsid w:val="006719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1913"/>
    <w:pPr>
      <w:spacing w:after="0" w:line="240" w:lineRule="auto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.oneportal.deta.qld.gov.au/sites/northqueenslandregion/StateSchools/Document%20Library/School%20Strategic%20Planning/Annual%20Implementation%20Plans/State-schools-strategy-2018-2022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BA86AC35F948B0677EFF64D29844" ma:contentTypeVersion="14" ma:contentTypeDescription="Create a new document." ma:contentTypeScope="" ma:versionID="55792fbb3ded44634e67f8beea393595">
  <xsd:schema xmlns:xsd="http://www.w3.org/2001/XMLSchema" xmlns:xs="http://www.w3.org/2001/XMLSchema" xmlns:p="http://schemas.microsoft.com/office/2006/metadata/properties" xmlns:ns1="http://schemas.microsoft.com/sharepoint/v3" xmlns:ns2="36112bd7-a45a-4945-8ca2-9472454fadc6" targetNamespace="http://schemas.microsoft.com/office/2006/metadata/properties" ma:root="true" ma:fieldsID="a1c5b58427a70344ea3b082d8aa29471" ns1:_="" ns2:_="">
    <xsd:import namespace="http://schemas.microsoft.com/sharepoint/v3"/>
    <xsd:import namespace="36112bd7-a45a-4945-8ca2-9472454fad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12bd7-a45a-4945-8ca2-9472454fadc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36112bd7-a45a-4945-8ca2-9472454fadc6">2024-01-31T14:00:00+00:00</PPReviewDate>
    <PPReferenceNumber xmlns="36112bd7-a45a-4945-8ca2-9472454fadc6" xsi:nil="true"/>
    <PPModeratedBy xmlns="36112bd7-a45a-4945-8ca2-9472454fadc6">
      <UserInfo>
        <DisplayName>CROSS, Lainie</DisplayName>
        <AccountId>36</AccountId>
        <AccountType/>
      </UserInfo>
    </PPModeratedBy>
    <PPLastReviewedBy xmlns="36112bd7-a45a-4945-8ca2-9472454fadc6">
      <UserInfo>
        <DisplayName>CROSS, Lainie</DisplayName>
        <AccountId>36</AccountId>
        <AccountType/>
      </UserInfo>
    </PPLastReviewedBy>
    <PPContentAuthor xmlns="36112bd7-a45a-4945-8ca2-9472454fadc6">
      <UserInfo>
        <DisplayName>DUNKERTON, Marcie</DisplayName>
        <AccountId>28</AccountId>
        <AccountType/>
      </UserInfo>
    </PPContentAuthor>
    <PPContentApprover xmlns="36112bd7-a45a-4945-8ca2-9472454fadc6">
      <UserInfo>
        <DisplayName>CROSS, Lainie</DisplayName>
        <AccountId>36</AccountId>
        <AccountType/>
      </UserInfo>
    </PPContentApprover>
    <PublishingStartDate xmlns="http://schemas.microsoft.com/sharepoint/v3" xsi:nil="true"/>
    <PPPublishedNotificationAddresses xmlns="36112bd7-a45a-4945-8ca2-9472454fadc6" xsi:nil="true"/>
    <PPLastReviewedDate xmlns="36112bd7-a45a-4945-8ca2-9472454fadc6">2023-02-01T03:43:06+00:00</PPLastReviewedDate>
    <PPModeratedDate xmlns="36112bd7-a45a-4945-8ca2-9472454fadc6">2023-02-01T03:43:06+00:00</PPModeratedDate>
    <PPSubmittedDate xmlns="36112bd7-a45a-4945-8ca2-9472454fadc6">2023-02-01T03:42:47+00:00</PPSubmittedDate>
    <PPContentOwner xmlns="36112bd7-a45a-4945-8ca2-9472454fadc6">
      <UserInfo>
        <DisplayName>CROSS, Lainie</DisplayName>
        <AccountId>36</AccountId>
        <AccountType/>
      </UserInfo>
    </PPContentOwner>
    <PublishingExpirationDate xmlns="http://schemas.microsoft.com/sharepoint/v3" xsi:nil="true"/>
    <PPSubmittedBy xmlns="36112bd7-a45a-4945-8ca2-9472454fadc6">
      <UserInfo>
        <DisplayName>CROSS, Lainie</DisplayName>
        <AccountId>36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014958A-7179-4D92-9CE6-9BE9E9230550}"/>
</file>

<file path=customXml/itemProps2.xml><?xml version="1.0" encoding="utf-8"?>
<ds:datastoreItem xmlns:ds="http://schemas.openxmlformats.org/officeDocument/2006/customXml" ds:itemID="{30D8AEA3-5AC7-43CF-9B4D-47A21440C9C3}"/>
</file>

<file path=customXml/itemProps3.xml><?xml version="1.0" encoding="utf-8"?>
<ds:datastoreItem xmlns:ds="http://schemas.openxmlformats.org/officeDocument/2006/customXml" ds:itemID="{11FEF50A-9D91-4029-BACC-0E4035EF4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implementation plan (PDF, 197KB)</dc:title>
  <dc:subject/>
  <dc:creator>KIRKPATRICK, Sally (skirk115)</dc:creator>
  <cp:keywords/>
  <dc:description/>
  <cp:lastModifiedBy>KIRKPATRICK, Sally (skirk115)</cp:lastModifiedBy>
  <cp:revision>2</cp:revision>
  <cp:lastPrinted>2021-12-05T23:31:00Z</cp:lastPrinted>
  <dcterms:created xsi:type="dcterms:W3CDTF">2021-12-05T22:45:00Z</dcterms:created>
  <dcterms:modified xsi:type="dcterms:W3CDTF">2021-12-05T23:31:00Z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0x010100B1CBBA86AC35F948B0677EFF64D29844</vt:lpwstr>
  </property>
</Properties>
</file>